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7DE51" w14:textId="77777777" w:rsidR="00F22D7C" w:rsidRPr="00DB0821" w:rsidRDefault="00444DCE" w:rsidP="00444DC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B0821">
        <w:rPr>
          <w:b/>
          <w:sz w:val="28"/>
          <w:szCs w:val="28"/>
        </w:rPr>
        <w:t>Prévision du recul de la falaise  à Ault</w:t>
      </w:r>
    </w:p>
    <w:p w14:paraId="4CD8D085" w14:textId="77777777" w:rsidR="00444DCE" w:rsidRPr="00DB0821" w:rsidRDefault="00444DCE" w:rsidP="00444DCE">
      <w:pPr>
        <w:jc w:val="center"/>
        <w:rPr>
          <w:b/>
          <w:sz w:val="28"/>
          <w:szCs w:val="28"/>
        </w:rPr>
      </w:pPr>
    </w:p>
    <w:p w14:paraId="34C46B57" w14:textId="77777777" w:rsidR="00444DCE" w:rsidRPr="00DB0821" w:rsidRDefault="00444DCE" w:rsidP="00444DCE">
      <w:pPr>
        <w:jc w:val="center"/>
        <w:rPr>
          <w:b/>
          <w:sz w:val="28"/>
          <w:szCs w:val="28"/>
        </w:rPr>
      </w:pPr>
      <w:proofErr w:type="gramStart"/>
      <w:r w:rsidRPr="00DB0821">
        <w:rPr>
          <w:b/>
          <w:sz w:val="28"/>
          <w:szCs w:val="28"/>
        </w:rPr>
        <w:t>dans</w:t>
      </w:r>
      <w:proofErr w:type="gramEnd"/>
      <w:r w:rsidRPr="00DB0821">
        <w:rPr>
          <w:b/>
          <w:sz w:val="28"/>
          <w:szCs w:val="28"/>
        </w:rPr>
        <w:t xml:space="preserve"> le Plan de Prévention des Risques de 2015</w:t>
      </w:r>
    </w:p>
    <w:p w14:paraId="6E56A718" w14:textId="77777777" w:rsidR="00444DCE" w:rsidRPr="00DB0821" w:rsidRDefault="00444DCE" w:rsidP="00444DCE">
      <w:pPr>
        <w:jc w:val="center"/>
        <w:rPr>
          <w:b/>
          <w:sz w:val="28"/>
          <w:szCs w:val="28"/>
        </w:rPr>
      </w:pPr>
    </w:p>
    <w:p w14:paraId="0D55304B" w14:textId="77777777" w:rsidR="00444DCE" w:rsidRPr="00DB0821" w:rsidRDefault="00444DCE" w:rsidP="00444DCE">
      <w:pPr>
        <w:jc w:val="center"/>
        <w:rPr>
          <w:sz w:val="22"/>
          <w:szCs w:val="22"/>
        </w:rPr>
      </w:pPr>
      <w:r w:rsidRPr="00DB0821">
        <w:rPr>
          <w:sz w:val="22"/>
          <w:szCs w:val="22"/>
        </w:rPr>
        <w:t>Extraits de la note de présentation du PPR, chapitre 3, pages 13 à 18</w:t>
      </w:r>
    </w:p>
    <w:p w14:paraId="182A685E" w14:textId="77777777" w:rsidR="00444DCE" w:rsidRPr="00DB0821" w:rsidRDefault="00444DCE" w:rsidP="00444DCE">
      <w:pPr>
        <w:jc w:val="center"/>
        <w:rPr>
          <w:sz w:val="22"/>
          <w:szCs w:val="22"/>
        </w:rPr>
      </w:pPr>
    </w:p>
    <w:p w14:paraId="2DF29DB0" w14:textId="77777777" w:rsidR="00444DCE" w:rsidRPr="00DB0821" w:rsidRDefault="00444DCE" w:rsidP="00444DCE">
      <w:pPr>
        <w:rPr>
          <w:sz w:val="22"/>
          <w:szCs w:val="22"/>
        </w:rPr>
      </w:pPr>
    </w:p>
    <w:p w14:paraId="4F9843FA" w14:textId="77777777" w:rsidR="00444DCE" w:rsidRPr="00DB0821" w:rsidRDefault="00444DCE" w:rsidP="00DB0821">
      <w:pPr>
        <w:jc w:val="both"/>
        <w:rPr>
          <w:sz w:val="22"/>
          <w:szCs w:val="22"/>
        </w:rPr>
      </w:pPr>
      <w:r w:rsidRPr="00DB0821">
        <w:rPr>
          <w:sz w:val="22"/>
          <w:szCs w:val="22"/>
        </w:rPr>
        <w:t xml:space="preserve">La zone d’étude a été divisée en 13 </w:t>
      </w:r>
      <w:r w:rsidR="00411F4F" w:rsidRPr="00DB0821">
        <w:rPr>
          <w:sz w:val="22"/>
          <w:szCs w:val="22"/>
        </w:rPr>
        <w:t>secteurs</w:t>
      </w:r>
      <w:r w:rsidRPr="00DB0821">
        <w:rPr>
          <w:sz w:val="22"/>
          <w:szCs w:val="22"/>
        </w:rPr>
        <w:t xml:space="preserve"> homogènes en fonction de la hauteur de la falaise, de la géologie, de l’état d’altération, des dynamiques les impactant, des éléments de protection, des enjeux.</w:t>
      </w:r>
    </w:p>
    <w:p w14:paraId="1F749BE6" w14:textId="77777777" w:rsidR="00444DCE" w:rsidRPr="00DB0821" w:rsidRDefault="00444DCE" w:rsidP="00DB0821">
      <w:pPr>
        <w:jc w:val="both"/>
        <w:rPr>
          <w:sz w:val="22"/>
          <w:szCs w:val="22"/>
        </w:rPr>
      </w:pPr>
    </w:p>
    <w:p w14:paraId="578D845F" w14:textId="77777777" w:rsidR="00444DCE" w:rsidRPr="00DB0821" w:rsidRDefault="00444DCE" w:rsidP="00DB0821">
      <w:pPr>
        <w:jc w:val="both"/>
        <w:rPr>
          <w:sz w:val="22"/>
          <w:szCs w:val="22"/>
        </w:rPr>
      </w:pPr>
      <w:r w:rsidRPr="00DB0821">
        <w:rPr>
          <w:sz w:val="22"/>
          <w:szCs w:val="22"/>
        </w:rPr>
        <w:t>La caractérisation du recul prévisible repose sur la synthèse de l’évolution des côtes et sur une analyse quantitative qui permet notamment de déterminer le taux moyen annuel de recul.</w:t>
      </w:r>
    </w:p>
    <w:p w14:paraId="6B1C04BB" w14:textId="77777777" w:rsidR="00444DCE" w:rsidRPr="00DB0821" w:rsidRDefault="00444DCE" w:rsidP="00DB0821">
      <w:pPr>
        <w:jc w:val="both"/>
        <w:rPr>
          <w:sz w:val="22"/>
          <w:szCs w:val="22"/>
        </w:rPr>
      </w:pPr>
    </w:p>
    <w:p w14:paraId="2CEE5A11" w14:textId="77777777" w:rsidR="00444DCE" w:rsidRPr="00DB0821" w:rsidRDefault="00444DCE" w:rsidP="00DB0821">
      <w:pPr>
        <w:jc w:val="both"/>
        <w:rPr>
          <w:sz w:val="22"/>
          <w:szCs w:val="22"/>
        </w:rPr>
      </w:pPr>
      <w:r w:rsidRPr="00DB0821">
        <w:rPr>
          <w:sz w:val="22"/>
          <w:szCs w:val="22"/>
        </w:rPr>
        <w:t xml:space="preserve">En plus du recul moyen annuel, est déterminé le recul maximal ponctuel lié à un événement majeur (effondrement d’un morceau de la falaise). La valeur de ce recul est caractéristique de la géologie (lithologie, stratigraphie, structure, fracturation </w:t>
      </w:r>
      <w:proofErr w:type="spellStart"/>
      <w:r w:rsidRPr="00DB0821">
        <w:rPr>
          <w:sz w:val="22"/>
          <w:szCs w:val="22"/>
        </w:rPr>
        <w:t>etc</w:t>
      </w:r>
      <w:proofErr w:type="spellEnd"/>
      <w:r w:rsidRPr="00DB0821">
        <w:rPr>
          <w:sz w:val="22"/>
          <w:szCs w:val="22"/>
        </w:rPr>
        <w:t>).</w:t>
      </w:r>
    </w:p>
    <w:p w14:paraId="4F0219D0" w14:textId="77777777" w:rsidR="00444DCE" w:rsidRPr="00DB0821" w:rsidRDefault="00444DCE" w:rsidP="00DB0821">
      <w:pPr>
        <w:jc w:val="both"/>
        <w:rPr>
          <w:sz w:val="22"/>
          <w:szCs w:val="22"/>
        </w:rPr>
      </w:pPr>
    </w:p>
    <w:p w14:paraId="1EA52006" w14:textId="77777777" w:rsidR="00444DCE" w:rsidRPr="00DB0821" w:rsidRDefault="00444DCE" w:rsidP="00DB0821">
      <w:pPr>
        <w:jc w:val="both"/>
        <w:rPr>
          <w:sz w:val="22"/>
          <w:szCs w:val="22"/>
        </w:rPr>
      </w:pPr>
      <w:r w:rsidRPr="00DB0821">
        <w:rPr>
          <w:sz w:val="22"/>
          <w:szCs w:val="22"/>
        </w:rPr>
        <w:t>Un diagnostic de l’état des ouvrages de protection a été fait.</w:t>
      </w:r>
    </w:p>
    <w:p w14:paraId="3FCA4964" w14:textId="77777777" w:rsidR="00444DCE" w:rsidRPr="00DB0821" w:rsidRDefault="00444DCE" w:rsidP="00DB0821">
      <w:pPr>
        <w:jc w:val="both"/>
        <w:rPr>
          <w:sz w:val="22"/>
          <w:szCs w:val="22"/>
        </w:rPr>
      </w:pPr>
      <w:r w:rsidRPr="00DB0821">
        <w:rPr>
          <w:sz w:val="22"/>
          <w:szCs w:val="22"/>
        </w:rPr>
        <w:t>Le zonage proposé est basé sur le scénario d’abandon des éléments de protection à long terme, ce qui se traduit par une augmentation des estimations des vitesses de recul à moyen et long terme.</w:t>
      </w:r>
    </w:p>
    <w:p w14:paraId="4E6E588B" w14:textId="77777777" w:rsidR="00444DCE" w:rsidRPr="00DB0821" w:rsidRDefault="00444DCE" w:rsidP="00DB0821">
      <w:pPr>
        <w:jc w:val="both"/>
        <w:rPr>
          <w:sz w:val="22"/>
          <w:szCs w:val="22"/>
        </w:rPr>
      </w:pPr>
    </w:p>
    <w:p w14:paraId="7A47B6D1" w14:textId="77777777" w:rsidR="00444DCE" w:rsidRPr="00DB0821" w:rsidRDefault="00411F4F" w:rsidP="00DB0821">
      <w:pPr>
        <w:jc w:val="both"/>
        <w:rPr>
          <w:sz w:val="22"/>
          <w:szCs w:val="22"/>
        </w:rPr>
      </w:pPr>
      <w:r w:rsidRPr="00DB0821">
        <w:rPr>
          <w:sz w:val="22"/>
          <w:szCs w:val="22"/>
        </w:rPr>
        <w:t>Pour l’évaluation du recul de la falaise à l’horizon 100 ans, le zonage est le résultat des vitesses de recul annuel estimées pour les trois périodes 0-10 ans, 10-30 ans et 30-100 ans, auquel est ajouté le recul d’un événement ponctuel majeur (10 mètres).</w:t>
      </w:r>
    </w:p>
    <w:p w14:paraId="2C3D6677" w14:textId="77777777" w:rsidR="00411F4F" w:rsidRPr="00DB0821" w:rsidRDefault="00411F4F" w:rsidP="00DB0821">
      <w:pPr>
        <w:jc w:val="both"/>
        <w:rPr>
          <w:sz w:val="22"/>
          <w:szCs w:val="22"/>
        </w:rPr>
      </w:pPr>
    </w:p>
    <w:p w14:paraId="4A90A47E" w14:textId="77777777" w:rsidR="00411F4F" w:rsidRPr="00DB0821" w:rsidRDefault="00411F4F" w:rsidP="00DB0821">
      <w:pPr>
        <w:jc w:val="both"/>
        <w:rPr>
          <w:sz w:val="22"/>
          <w:szCs w:val="22"/>
        </w:rPr>
      </w:pPr>
      <w:r w:rsidRPr="00DB0821">
        <w:rPr>
          <w:sz w:val="22"/>
          <w:szCs w:val="22"/>
        </w:rPr>
        <w:t>Le tableau ci-dessous présente pour les 13 secteurs, les reculs passés et prévus.</w:t>
      </w:r>
    </w:p>
    <w:p w14:paraId="2A0357A2" w14:textId="77777777" w:rsidR="007300A8" w:rsidRPr="00DB0821" w:rsidRDefault="007300A8" w:rsidP="00DB0821">
      <w:pPr>
        <w:jc w:val="both"/>
        <w:rPr>
          <w:sz w:val="22"/>
          <w:szCs w:val="22"/>
        </w:rPr>
      </w:pPr>
      <w:r w:rsidRPr="00DB0821">
        <w:rPr>
          <w:sz w:val="22"/>
          <w:szCs w:val="22"/>
        </w:rPr>
        <w:t>Selon les secteurs la prévision de recul à 100 ans va de 38 à 75 mètres.</w:t>
      </w:r>
    </w:p>
    <w:p w14:paraId="5D459DDE" w14:textId="77777777" w:rsidR="00411F4F" w:rsidRPr="00DB0821" w:rsidRDefault="00411F4F" w:rsidP="00DB0821">
      <w:pPr>
        <w:jc w:val="both"/>
        <w:rPr>
          <w:sz w:val="22"/>
          <w:szCs w:val="22"/>
        </w:rPr>
      </w:pPr>
    </w:p>
    <w:p w14:paraId="52C63A72" w14:textId="77777777" w:rsidR="00411F4F" w:rsidRPr="00DB0821" w:rsidRDefault="00411F4F" w:rsidP="00DB0821">
      <w:pPr>
        <w:jc w:val="both"/>
        <w:rPr>
          <w:sz w:val="22"/>
          <w:szCs w:val="22"/>
        </w:rPr>
      </w:pPr>
      <w:r w:rsidRPr="00DB0821">
        <w:rPr>
          <w:noProof/>
          <w:sz w:val="22"/>
          <w:szCs w:val="22"/>
        </w:rPr>
        <w:drawing>
          <wp:inline distT="0" distB="0" distL="0" distR="0" wp14:anchorId="19BCF75D" wp14:editId="016A7D5C">
            <wp:extent cx="6499295" cy="3140760"/>
            <wp:effectExtent l="0" t="0" r="3175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036" cy="314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91D0C" w14:textId="036E5FBE" w:rsidR="006628B4" w:rsidRPr="00DB0821" w:rsidRDefault="006628B4" w:rsidP="00DB0821">
      <w:pPr>
        <w:jc w:val="both"/>
        <w:rPr>
          <w:b/>
          <w:sz w:val="22"/>
          <w:szCs w:val="22"/>
        </w:rPr>
      </w:pPr>
      <w:r w:rsidRPr="00DB0821">
        <w:rPr>
          <w:b/>
          <w:sz w:val="22"/>
          <w:szCs w:val="22"/>
        </w:rPr>
        <w:t>La prise en compte des ouvrages de protection</w:t>
      </w:r>
    </w:p>
    <w:p w14:paraId="31DA1D12" w14:textId="77777777" w:rsidR="006628B4" w:rsidRPr="00DB0821" w:rsidRDefault="006628B4" w:rsidP="00DB0821">
      <w:pPr>
        <w:jc w:val="both"/>
        <w:rPr>
          <w:sz w:val="22"/>
          <w:szCs w:val="22"/>
        </w:rPr>
      </w:pPr>
      <w:r w:rsidRPr="00DB0821">
        <w:rPr>
          <w:sz w:val="22"/>
          <w:szCs w:val="22"/>
        </w:rPr>
        <w:t>Le PPR de 2001 autorisait les travaux de rénovation et de reconstruction en cas de sinistre et les extensions pour la création d’annexes inférieures à 20 mètres carrés, dans les secteurs bénéficiant d’ouvrages de protection, sous réserve de leur pérennisation.</w:t>
      </w:r>
    </w:p>
    <w:p w14:paraId="7FE05A40" w14:textId="0BB64751" w:rsidR="00BA1B27" w:rsidRPr="00DB0821" w:rsidRDefault="00BA1B27" w:rsidP="00DB0821">
      <w:pPr>
        <w:jc w:val="both"/>
        <w:rPr>
          <w:sz w:val="22"/>
          <w:szCs w:val="22"/>
        </w:rPr>
      </w:pPr>
      <w:r w:rsidRPr="00DB0821">
        <w:rPr>
          <w:sz w:val="22"/>
          <w:szCs w:val="22"/>
        </w:rPr>
        <w:t>Le PPR de 2015 interdit toute construction nouvelle et toute extension de constructions existantes</w:t>
      </w:r>
      <w:r w:rsidR="006628B4" w:rsidRPr="00DB0821">
        <w:rPr>
          <w:sz w:val="22"/>
          <w:szCs w:val="22"/>
        </w:rPr>
        <w:t xml:space="preserve"> dans la zone de recul prévisible à 100 ans (zone rouge), même s’il y a des ouvrages de protection et s’ils sont entretenus.</w:t>
      </w:r>
    </w:p>
    <w:p w14:paraId="423A3A39" w14:textId="77777777" w:rsidR="00DB0821" w:rsidRPr="00DB0821" w:rsidRDefault="00DB0821" w:rsidP="00DB0821">
      <w:pPr>
        <w:jc w:val="both"/>
        <w:rPr>
          <w:sz w:val="22"/>
          <w:szCs w:val="22"/>
        </w:rPr>
      </w:pPr>
    </w:p>
    <w:p w14:paraId="4ED87CD7" w14:textId="6ADDBB9C" w:rsidR="00DB0821" w:rsidRPr="00DB0821" w:rsidRDefault="00DB0821" w:rsidP="00DB0821">
      <w:pPr>
        <w:jc w:val="both"/>
        <w:rPr>
          <w:sz w:val="22"/>
          <w:szCs w:val="22"/>
        </w:rPr>
      </w:pPr>
      <w:r w:rsidRPr="00DB0821">
        <w:rPr>
          <w:sz w:val="22"/>
          <w:szCs w:val="22"/>
        </w:rPr>
        <w:t>Ault Environnement 21.1.2022</w:t>
      </w:r>
    </w:p>
    <w:sectPr w:rsidR="00DB0821" w:rsidRPr="00DB0821" w:rsidSect="006F18AC">
      <w:pgSz w:w="11900" w:h="16840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DCE"/>
    <w:rsid w:val="00112242"/>
    <w:rsid w:val="003103DB"/>
    <w:rsid w:val="00411F4F"/>
    <w:rsid w:val="00444DCE"/>
    <w:rsid w:val="006628B4"/>
    <w:rsid w:val="006F18AC"/>
    <w:rsid w:val="007300A8"/>
    <w:rsid w:val="00802A51"/>
    <w:rsid w:val="00BA1B27"/>
    <w:rsid w:val="00DB0821"/>
    <w:rsid w:val="00F2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12AF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1F4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F4F"/>
    <w:rPr>
      <w:rFonts w:ascii="Lucida Grande" w:hAnsi="Lucida Grand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1F4F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F4F"/>
    <w:rPr>
      <w:rFonts w:ascii="Lucida Grande" w:hAnsi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1730</Characters>
  <Application>Microsoft Macintosh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Desjonqueres </dc:creator>
  <cp:keywords/>
  <dc:description/>
  <cp:lastModifiedBy>Xavier Desjonqueres </cp:lastModifiedBy>
  <cp:revision>2</cp:revision>
  <dcterms:created xsi:type="dcterms:W3CDTF">2022-02-15T17:31:00Z</dcterms:created>
  <dcterms:modified xsi:type="dcterms:W3CDTF">2022-02-15T17:31:00Z</dcterms:modified>
</cp:coreProperties>
</file>